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4344F3E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r w:rsidR="00BD03B2">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15780117" w:rsidR="00EB723F" w:rsidRPr="00EB723F" w:rsidRDefault="00EB723F" w:rsidP="008D66B9">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sidRPr="003A7015">
        <w:rPr>
          <w:rFonts w:asciiTheme="minorHAnsi" w:hAnsiTheme="minorHAnsi"/>
          <w:color w:val="000000" w:themeColor="text1"/>
          <w:sz w:val="22"/>
          <w:szCs w:val="22"/>
          <w:highlight w:val="yellow"/>
        </w:rPr>
        <w:t>……..,</w:t>
      </w:r>
      <w:r w:rsidR="00ED5FFF">
        <w:rPr>
          <w:rFonts w:asciiTheme="minorHAnsi" w:hAnsiTheme="minorHAnsi"/>
          <w:color w:val="000000" w:themeColor="text1"/>
          <w:sz w:val="22"/>
          <w:szCs w:val="22"/>
        </w:rPr>
        <w:t xml:space="preserve"> oddíl</w:t>
      </w:r>
      <w:r w:rsidR="00ED5FFF" w:rsidRPr="003A7015">
        <w:rPr>
          <w:rFonts w:asciiTheme="minorHAnsi" w:hAnsiTheme="minorHAnsi"/>
          <w:color w:val="000000" w:themeColor="text1"/>
          <w:sz w:val="22"/>
          <w:szCs w:val="22"/>
          <w:highlight w:val="yellow"/>
        </w:rPr>
        <w:t>…..,</w:t>
      </w:r>
      <w:r w:rsidR="00ED5FFF">
        <w:rPr>
          <w:rFonts w:asciiTheme="minorHAnsi" w:hAnsiTheme="minorHAnsi"/>
          <w:color w:val="000000" w:themeColor="text1"/>
          <w:sz w:val="22"/>
          <w:szCs w:val="22"/>
        </w:rPr>
        <w:t xml:space="preserve"> vložka</w:t>
      </w:r>
      <w:r w:rsidR="00ED5FFF" w:rsidRPr="003A7015">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3A4ACC7A"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DB3680">
        <w:rPr>
          <w:rFonts w:asciiTheme="minorHAnsi" w:hAnsiTheme="minorHAnsi"/>
          <w:b/>
          <w:bCs/>
          <w:sz w:val="22"/>
          <w:szCs w:val="22"/>
        </w:rPr>
        <w:t>Ultrazvukové přístroje 2</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B72071" w:rsidRPr="00020322">
        <w:rPr>
          <w:rFonts w:asciiTheme="minorHAnsi" w:hAnsiTheme="minorHAnsi"/>
          <w:i/>
          <w:iCs/>
          <w:sz w:val="22"/>
          <w:szCs w:val="22"/>
          <w:highlight w:val="yellow"/>
        </w:rPr>
        <w:t xml:space="preserve"> </w:t>
      </w:r>
      <w:r w:rsidRPr="00020322">
        <w:rPr>
          <w:rFonts w:asciiTheme="minorHAnsi" w:hAnsiTheme="minorHAnsi"/>
          <w:sz w:val="22"/>
          <w:szCs w:val="22"/>
        </w:rPr>
        <w:t>realizované</w:t>
      </w:r>
      <w:r w:rsidR="00F107A9">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65C5183A" w:rsidR="000832FE" w:rsidRPr="001E7F74" w:rsidRDefault="000832FE" w:rsidP="00BF3173">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1E7F74">
        <w:rPr>
          <w:rFonts w:ascii="Calibri" w:eastAsia="SimSun" w:hAnsi="Calibri" w:cs="Calibri"/>
          <w:kern w:val="1"/>
          <w:sz w:val="22"/>
          <w:szCs w:val="22"/>
          <w:lang w:eastAsia="hi-IN" w:bidi="hi-IN"/>
        </w:rPr>
        <w:t>Předmět smlouvy je realizován v rámci projektu „</w:t>
      </w:r>
      <w:r w:rsidR="00116A0C" w:rsidRPr="001E7F74">
        <w:rPr>
          <w:rFonts w:ascii="Calibri" w:eastAsia="SimSun" w:hAnsi="Calibri" w:cs="Calibri"/>
          <w:kern w:val="1"/>
          <w:sz w:val="22"/>
          <w:szCs w:val="22"/>
          <w:lang w:eastAsia="hi-IN" w:bidi="hi-IN"/>
        </w:rPr>
        <w:t>Zobrazovací techniky UZ</w:t>
      </w:r>
      <w:r w:rsidRPr="001E7F74">
        <w:rPr>
          <w:rFonts w:ascii="Calibri" w:eastAsia="SimSun" w:hAnsi="Calibri" w:cs="Calibri"/>
          <w:kern w:val="1"/>
          <w:sz w:val="22"/>
          <w:szCs w:val="22"/>
          <w:lang w:eastAsia="hi-IN" w:bidi="hi-IN"/>
        </w:rPr>
        <w:t>“ (reg. č.  CZ.06.2.56/0.0/0.0/16_043/00015</w:t>
      </w:r>
      <w:r w:rsidR="00EC006E" w:rsidRPr="001E7F74">
        <w:rPr>
          <w:rFonts w:ascii="Calibri" w:eastAsia="SimSun" w:hAnsi="Calibri" w:cs="Calibri"/>
          <w:kern w:val="1"/>
          <w:sz w:val="22"/>
          <w:szCs w:val="22"/>
          <w:lang w:eastAsia="hi-IN" w:bidi="hi-IN"/>
        </w:rPr>
        <w:t>4</w:t>
      </w:r>
      <w:r w:rsidR="00116A0C" w:rsidRPr="001E7F74">
        <w:rPr>
          <w:rFonts w:ascii="Calibri" w:eastAsia="SimSun" w:hAnsi="Calibri" w:cs="Calibri"/>
          <w:kern w:val="1"/>
          <w:sz w:val="22"/>
          <w:szCs w:val="22"/>
          <w:lang w:eastAsia="hi-IN" w:bidi="hi-IN"/>
        </w:rPr>
        <w:t>1</w:t>
      </w:r>
      <w:r w:rsidRPr="001E7F74">
        <w:rPr>
          <w:rFonts w:ascii="Calibri" w:eastAsia="SimSun" w:hAnsi="Calibri" w:cs="Calibri"/>
          <w:kern w:val="1"/>
          <w:sz w:val="22"/>
          <w:szCs w:val="22"/>
          <w:lang w:eastAsia="hi-IN" w:bidi="hi-IN"/>
        </w:rPr>
        <w:t xml:space="preserve">) </w:t>
      </w:r>
      <w:r w:rsidR="00BF3173" w:rsidRPr="001E7F74">
        <w:rPr>
          <w:rFonts w:ascii="Calibri" w:eastAsia="SimSun" w:hAnsi="Calibri" w:cs="Calibri"/>
          <w:kern w:val="1"/>
          <w:sz w:val="22"/>
          <w:szCs w:val="22"/>
          <w:lang w:eastAsia="hi-IN" w:bidi="hi-IN"/>
        </w:rPr>
        <w:t xml:space="preserve">a </w:t>
      </w:r>
      <w:bookmarkStart w:id="0" w:name="_Hlk45553783"/>
      <w:r w:rsidR="00BF3173" w:rsidRPr="001E7F74">
        <w:rPr>
          <w:rFonts w:ascii="Calibri" w:eastAsia="SimSun" w:hAnsi="Calibri" w:cs="Calibri"/>
          <w:kern w:val="1"/>
          <w:sz w:val="22"/>
          <w:szCs w:val="22"/>
          <w:lang w:eastAsia="hi-IN" w:bidi="hi-IN"/>
        </w:rPr>
        <w:t>Modernizace přístrojů a vybavení operačních sálů</w:t>
      </w:r>
      <w:bookmarkEnd w:id="0"/>
      <w:r w:rsidR="00BF3173" w:rsidRPr="001E7F74">
        <w:rPr>
          <w:rFonts w:ascii="Calibri" w:eastAsia="SimSun" w:hAnsi="Calibri" w:cs="Calibri"/>
          <w:kern w:val="1"/>
          <w:sz w:val="22"/>
          <w:szCs w:val="22"/>
          <w:lang w:eastAsia="hi-IN" w:bidi="hi-IN"/>
        </w:rPr>
        <w:t xml:space="preserve">, </w:t>
      </w:r>
      <w:proofErr w:type="spellStart"/>
      <w:r w:rsidR="00BF3173" w:rsidRPr="001E7F74">
        <w:rPr>
          <w:rFonts w:ascii="Calibri" w:eastAsia="SimSun" w:hAnsi="Calibri" w:cs="Calibri"/>
          <w:kern w:val="1"/>
          <w:sz w:val="22"/>
          <w:szCs w:val="22"/>
          <w:lang w:eastAsia="hi-IN" w:bidi="hi-IN"/>
        </w:rPr>
        <w:t>reg</w:t>
      </w:r>
      <w:proofErr w:type="spellEnd"/>
      <w:r w:rsidR="00BF3173" w:rsidRPr="001E7F74">
        <w:rPr>
          <w:rFonts w:ascii="Calibri" w:eastAsia="SimSun" w:hAnsi="Calibri" w:cs="Calibri"/>
          <w:kern w:val="1"/>
          <w:sz w:val="22"/>
          <w:szCs w:val="22"/>
          <w:lang w:eastAsia="hi-IN" w:bidi="hi-IN"/>
        </w:rPr>
        <w:t xml:space="preserve">. č. CZ.06.2.56/0.0/0.0/16_043/0001549 </w:t>
      </w:r>
      <w:r w:rsidRPr="001E7F74">
        <w:rPr>
          <w:rFonts w:ascii="Calibri" w:eastAsia="SimSun" w:hAnsi="Calibri" w:cs="Calibri"/>
          <w:kern w:val="1"/>
          <w:sz w:val="22"/>
          <w:szCs w:val="22"/>
          <w:lang w:eastAsia="hi-IN" w:bidi="hi-IN"/>
        </w:rPr>
        <w:t xml:space="preserve">spolufinancovaného Evropskou unií z Evropského fondu pro regionální rozvoj. </w:t>
      </w:r>
    </w:p>
    <w:p w14:paraId="05E93D83" w14:textId="199DE3D2" w:rsidR="006A36A9" w:rsidRPr="00BF3173" w:rsidRDefault="006A36A9" w:rsidP="00BF3173">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E10E84" w:rsidRPr="00E10E84">
        <w:rPr>
          <w:rFonts w:ascii="Calibri" w:eastAsia="SimSun" w:hAnsi="Calibri" w:cs="Calibri"/>
          <w:kern w:val="1"/>
          <w:sz w:val="22"/>
          <w:szCs w:val="22"/>
          <w:lang w:eastAsia="hi-IN" w:bidi="hi-IN"/>
        </w:rPr>
        <w:t>Ultrazvukové přístroje</w:t>
      </w:r>
      <w:r w:rsidR="00503326" w:rsidRPr="00BF3173">
        <w:rPr>
          <w:rFonts w:ascii="Calibri" w:eastAsia="SimSun" w:hAnsi="Calibri" w:cs="Calibri"/>
          <w:i/>
          <w:iCs/>
          <w:kern w:val="1"/>
          <w:sz w:val="22"/>
          <w:szCs w:val="22"/>
          <w:lang w:eastAsia="hi-IN" w:bidi="hi-IN"/>
        </w:rPr>
        <w:t xml:space="preserve">, </w:t>
      </w:r>
      <w:r w:rsidR="00031235" w:rsidRPr="00BF3173">
        <w:rPr>
          <w:rFonts w:ascii="Calibri" w:eastAsia="SimSun" w:hAnsi="Calibri" w:cs="Calibri"/>
          <w:kern w:val="1"/>
          <w:sz w:val="22"/>
          <w:szCs w:val="22"/>
          <w:lang w:eastAsia="hi-IN" w:bidi="hi-IN"/>
        </w:rPr>
        <w:t>včetně veškerého příslušenství</w:t>
      </w:r>
      <w:r w:rsidRPr="00BF3173">
        <w:rPr>
          <w:rFonts w:ascii="Calibri" w:eastAsia="SimSun" w:hAnsi="Calibri" w:cs="Calibri"/>
          <w:kern w:val="1"/>
          <w:sz w:val="22"/>
          <w:szCs w:val="22"/>
          <w:lang w:eastAsia="hi-IN" w:bidi="hi-IN"/>
        </w:rPr>
        <w:t>, je</w:t>
      </w:r>
      <w:r w:rsidR="0043610E" w:rsidRPr="00BF3173">
        <w:rPr>
          <w:rFonts w:ascii="Calibri" w:eastAsia="SimSun" w:hAnsi="Calibri" w:cs="Calibri"/>
          <w:kern w:val="1"/>
          <w:sz w:val="22"/>
          <w:szCs w:val="22"/>
          <w:lang w:eastAsia="hi-IN" w:bidi="hi-IN"/>
        </w:rPr>
        <w:t>hož</w:t>
      </w:r>
      <w:r w:rsidRPr="00BF3173">
        <w:rPr>
          <w:rFonts w:ascii="Calibri" w:eastAsia="SimSun" w:hAnsi="Calibri" w:cs="Calibri"/>
          <w:kern w:val="1"/>
          <w:sz w:val="22"/>
          <w:szCs w:val="22"/>
          <w:lang w:eastAsia="hi-IN" w:bidi="hi-IN"/>
        </w:rPr>
        <w:t xml:space="preserve"> specifikace je uvedena v příloze č. </w:t>
      </w:r>
      <w:r w:rsidR="00FD657E" w:rsidRPr="00BF3173">
        <w:rPr>
          <w:rFonts w:ascii="Calibri" w:eastAsia="SimSun" w:hAnsi="Calibri" w:cs="Calibri"/>
          <w:kern w:val="1"/>
          <w:sz w:val="22"/>
          <w:szCs w:val="22"/>
          <w:lang w:eastAsia="hi-IN" w:bidi="hi-IN"/>
        </w:rPr>
        <w:t>2</w:t>
      </w:r>
      <w:r w:rsidRPr="00BF3173">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BF3173">
        <w:rPr>
          <w:rFonts w:ascii="Calibri" w:eastAsia="SimSun" w:hAnsi="Calibri" w:cs="Calibri"/>
          <w:kern w:val="1"/>
          <w:sz w:val="22"/>
          <w:szCs w:val="22"/>
          <w:lang w:eastAsia="hi-IN" w:bidi="hi-IN"/>
        </w:rPr>
        <w:t>III</w:t>
      </w:r>
      <w:r w:rsidRPr="00BF3173">
        <w:rPr>
          <w:rFonts w:ascii="Calibri" w:eastAsia="SimSun" w:hAnsi="Calibri" w:cs="Calibri"/>
          <w:kern w:val="1"/>
          <w:sz w:val="22"/>
          <w:szCs w:val="22"/>
          <w:lang w:eastAsia="hi-IN" w:bidi="hi-IN"/>
        </w:rPr>
        <w:t xml:space="preserve"> této smlouvy. </w:t>
      </w:r>
    </w:p>
    <w:p w14:paraId="1BC701A7" w14:textId="77777777" w:rsidR="001A5DAF" w:rsidRPr="001E7F74" w:rsidRDefault="001A5DAF" w:rsidP="00592397">
      <w:pPr>
        <w:widowControl w:val="0"/>
        <w:numPr>
          <w:ilvl w:val="0"/>
          <w:numId w:val="16"/>
        </w:numPr>
        <w:tabs>
          <w:tab w:val="left" w:pos="426"/>
          <w:tab w:val="num" w:pos="709"/>
          <w:tab w:val="num" w:pos="1440"/>
        </w:tabs>
        <w:suppressAutoHyphens/>
        <w:spacing w:after="60"/>
        <w:ind w:hanging="436"/>
        <w:jc w:val="both"/>
        <w:rPr>
          <w:rFonts w:ascii="Calibri" w:hAnsi="Calibri" w:cs="Calibri"/>
          <w:sz w:val="22"/>
          <w:szCs w:val="22"/>
        </w:rPr>
      </w:pPr>
      <w:r w:rsidRPr="001E7F7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3A7015">
      <w:pPr>
        <w:pStyle w:val="Odstavecseseznamem"/>
        <w:widowControl w:val="0"/>
        <w:numPr>
          <w:ilvl w:val="0"/>
          <w:numId w:val="28"/>
        </w:numPr>
        <w:tabs>
          <w:tab w:val="left" w:pos="851"/>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3A7015" w:rsidRDefault="00836966" w:rsidP="003A7015">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3A7015">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39CE1C50" w:rsidR="006A36A9" w:rsidRPr="003A7015" w:rsidRDefault="00E91E0D" w:rsidP="00592397">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3A7015">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59239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77777777" w:rsidR="007E4749" w:rsidRPr="007D4423" w:rsidRDefault="007E4749" w:rsidP="0059239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59239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23B606D4" w14:textId="77777777" w:rsidR="008D66B9" w:rsidRDefault="006A36A9" w:rsidP="00592397">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sidRPr="008D66B9">
        <w:rPr>
          <w:rFonts w:ascii="Calibri" w:eastAsia="SimSun" w:hAnsi="Calibri" w:cs="Calibri"/>
          <w:kern w:val="1"/>
          <w:sz w:val="22"/>
          <w:szCs w:val="22"/>
          <w:lang w:eastAsia="hi-IN" w:bidi="hi-IN"/>
        </w:rPr>
        <w:t>Prodávající je povinen dodat kupujícímu zboží do míst plnění, kterým</w:t>
      </w:r>
      <w:r w:rsidR="008D66B9" w:rsidRPr="008D66B9">
        <w:rPr>
          <w:rFonts w:ascii="Calibri" w:eastAsia="SimSun" w:hAnsi="Calibri" w:cs="Calibri"/>
          <w:kern w:val="1"/>
          <w:sz w:val="22"/>
          <w:szCs w:val="22"/>
          <w:lang w:eastAsia="hi-IN" w:bidi="hi-IN"/>
        </w:rPr>
        <w:t>i</w:t>
      </w:r>
      <w:r w:rsidRPr="008D66B9">
        <w:rPr>
          <w:rFonts w:ascii="Calibri" w:eastAsia="SimSun" w:hAnsi="Calibri" w:cs="Calibri"/>
          <w:kern w:val="1"/>
          <w:sz w:val="22"/>
          <w:szCs w:val="22"/>
          <w:lang w:eastAsia="hi-IN" w:bidi="hi-IN"/>
        </w:rPr>
        <w:t xml:space="preserve"> j</w:t>
      </w:r>
      <w:r w:rsidR="008D66B9" w:rsidRPr="008D66B9">
        <w:rPr>
          <w:rFonts w:ascii="Calibri" w:eastAsia="SimSun" w:hAnsi="Calibri" w:cs="Calibri"/>
          <w:kern w:val="1"/>
          <w:sz w:val="22"/>
          <w:szCs w:val="22"/>
          <w:lang w:eastAsia="hi-IN" w:bidi="hi-IN"/>
        </w:rPr>
        <w:t>sou</w:t>
      </w:r>
      <w:r w:rsidRPr="008D66B9">
        <w:rPr>
          <w:rFonts w:ascii="Calibri" w:eastAsia="SimSun" w:hAnsi="Calibri" w:cs="Calibri"/>
          <w:kern w:val="1"/>
          <w:sz w:val="22"/>
          <w:szCs w:val="22"/>
          <w:lang w:eastAsia="hi-IN" w:bidi="hi-IN"/>
        </w:rPr>
        <w:t xml:space="preserve"> </w:t>
      </w:r>
      <w:r w:rsidR="007D4423" w:rsidRPr="008D66B9">
        <w:rPr>
          <w:rFonts w:ascii="Calibri" w:eastAsia="SimSun" w:hAnsi="Calibri" w:cs="Calibri"/>
          <w:kern w:val="1"/>
          <w:sz w:val="22"/>
          <w:szCs w:val="22"/>
          <w:lang w:eastAsia="hi-IN" w:bidi="hi-IN"/>
        </w:rPr>
        <w:t>pracoviště zadavatele</w:t>
      </w:r>
      <w:r w:rsidR="008D66B9">
        <w:rPr>
          <w:rFonts w:ascii="Calibri" w:eastAsia="SimSun" w:hAnsi="Calibri" w:cs="Calibri"/>
          <w:kern w:val="1"/>
          <w:sz w:val="22"/>
          <w:szCs w:val="22"/>
          <w:lang w:eastAsia="hi-IN" w:bidi="hi-IN"/>
        </w:rPr>
        <w:t>:</w:t>
      </w:r>
      <w:r w:rsidR="00020322" w:rsidRPr="008D66B9">
        <w:rPr>
          <w:rFonts w:ascii="Calibri" w:eastAsia="SimSun" w:hAnsi="Calibri" w:cs="Calibri"/>
          <w:kern w:val="1"/>
          <w:sz w:val="22"/>
          <w:szCs w:val="22"/>
          <w:lang w:eastAsia="hi-IN" w:bidi="hi-IN"/>
        </w:rPr>
        <w:t xml:space="preserve"> </w:t>
      </w:r>
    </w:p>
    <w:p w14:paraId="18C28C55" w14:textId="77777777" w:rsidR="008D66B9" w:rsidRPr="008D66B9" w:rsidRDefault="008D66B9" w:rsidP="008D66B9">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8D66B9">
        <w:rPr>
          <w:rFonts w:ascii="Calibri" w:hAnsi="Calibri" w:cs="Calibri"/>
          <w:sz w:val="22"/>
          <w:szCs w:val="22"/>
        </w:rPr>
        <w:t>Chrudimská nemocnice, Václavská 570, 537 27 Chrudim</w:t>
      </w:r>
    </w:p>
    <w:p w14:paraId="2B572BDD" w14:textId="77777777" w:rsidR="008D66B9" w:rsidRPr="008D66B9" w:rsidRDefault="008D66B9" w:rsidP="008D66B9">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8D66B9">
        <w:rPr>
          <w:rFonts w:ascii="Calibri" w:hAnsi="Calibri" w:cs="Calibri"/>
          <w:sz w:val="22"/>
          <w:szCs w:val="22"/>
        </w:rPr>
        <w:t>Pardubická nemocnice, Kyjevská 44, 532 03 Pardubice</w:t>
      </w:r>
    </w:p>
    <w:p w14:paraId="276F0127" w14:textId="77777777" w:rsidR="008D66B9" w:rsidRPr="008D66B9" w:rsidRDefault="008D66B9" w:rsidP="008D66B9">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8D66B9">
        <w:rPr>
          <w:rFonts w:ascii="Calibri" w:hAnsi="Calibri" w:cs="Calibri"/>
          <w:sz w:val="22"/>
          <w:szCs w:val="22"/>
        </w:rPr>
        <w:t>Orlickoústecká nemocnice, Čs. armády 1076, 562 18 Ústí nad Orlicí</w:t>
      </w:r>
    </w:p>
    <w:p w14:paraId="270AA99C" w14:textId="77777777" w:rsidR="008D66B9" w:rsidRPr="008D66B9" w:rsidRDefault="008D66B9" w:rsidP="008D66B9">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8D66B9">
        <w:rPr>
          <w:rFonts w:ascii="Calibri" w:hAnsi="Calibri" w:cs="Calibri"/>
          <w:sz w:val="22"/>
          <w:szCs w:val="22"/>
        </w:rPr>
        <w:t>Svitavská nemocnice, Kollárova 7, 568 25 Svitavy</w:t>
      </w:r>
      <w:bookmarkStart w:id="1" w:name="_Hlk41641477"/>
    </w:p>
    <w:p w14:paraId="0B856B55" w14:textId="618B2F87" w:rsidR="008D66B9" w:rsidRPr="008D66B9" w:rsidRDefault="008D66B9" w:rsidP="008D66B9">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8D66B9">
        <w:rPr>
          <w:rFonts w:ascii="Calibri" w:hAnsi="Calibri" w:cs="Calibri"/>
          <w:sz w:val="22"/>
          <w:szCs w:val="22"/>
        </w:rPr>
        <w:t>Litomyšlská nemocnice, J. E. Purkyně 652, 570 14 Litomyšl</w:t>
      </w:r>
      <w:bookmarkEnd w:id="1"/>
    </w:p>
    <w:p w14:paraId="10BBED9E" w14:textId="5A4CCAE3" w:rsidR="006A36A9" w:rsidRPr="008D66B9" w:rsidRDefault="008D66B9" w:rsidP="00592397">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Dodavatel dodá předmět plnění do míst plnění nejpozději</w:t>
      </w:r>
      <w:r w:rsidR="00120351" w:rsidRPr="008D66B9">
        <w:rPr>
          <w:rFonts w:ascii="Calibri" w:eastAsia="SimSun" w:hAnsi="Calibri" w:cs="Calibri"/>
          <w:kern w:val="1"/>
          <w:sz w:val="22"/>
          <w:szCs w:val="22"/>
          <w:lang w:eastAsia="hi-IN" w:bidi="hi-IN"/>
        </w:rPr>
        <w:t xml:space="preserve"> </w:t>
      </w:r>
      <w:r w:rsidR="006A36A9" w:rsidRPr="008D66B9">
        <w:rPr>
          <w:rFonts w:ascii="Calibri" w:eastAsia="SimSun" w:hAnsi="Calibri" w:cs="Calibri"/>
          <w:kern w:val="1"/>
          <w:sz w:val="22"/>
          <w:szCs w:val="22"/>
          <w:lang w:eastAsia="hi-IN" w:bidi="hi-IN"/>
        </w:rPr>
        <w:t xml:space="preserve">do </w:t>
      </w:r>
      <w:r w:rsidR="00BF3173" w:rsidRPr="008D66B9">
        <w:rPr>
          <w:rFonts w:ascii="Calibri" w:eastAsia="SimSun" w:hAnsi="Calibri" w:cs="Calibri"/>
          <w:kern w:val="1"/>
          <w:sz w:val="22"/>
          <w:szCs w:val="22"/>
          <w:lang w:eastAsia="hi-IN" w:bidi="hi-IN"/>
        </w:rPr>
        <w:t>8</w:t>
      </w:r>
      <w:r w:rsidR="006A36A9" w:rsidRPr="008D66B9">
        <w:rPr>
          <w:rFonts w:ascii="Calibri" w:eastAsia="SimSun" w:hAnsi="Calibri" w:cs="Calibri"/>
          <w:kern w:val="1"/>
          <w:sz w:val="22"/>
          <w:szCs w:val="22"/>
          <w:lang w:eastAsia="hi-IN" w:bidi="hi-IN"/>
        </w:rPr>
        <w:t xml:space="preserve"> </w:t>
      </w:r>
      <w:r w:rsidR="007A42E8" w:rsidRPr="008D66B9">
        <w:rPr>
          <w:rFonts w:ascii="Calibri" w:eastAsia="SimSun" w:hAnsi="Calibri" w:cs="Calibri"/>
          <w:kern w:val="1"/>
          <w:sz w:val="22"/>
          <w:szCs w:val="22"/>
          <w:lang w:eastAsia="hi-IN" w:bidi="hi-IN"/>
        </w:rPr>
        <w:t>týdnů</w:t>
      </w:r>
      <w:r w:rsidR="006A36A9" w:rsidRPr="008D66B9">
        <w:rPr>
          <w:rFonts w:ascii="Calibri" w:eastAsia="SimSun" w:hAnsi="Calibri" w:cs="Calibri"/>
          <w:kern w:val="1"/>
          <w:sz w:val="22"/>
          <w:szCs w:val="22"/>
          <w:lang w:eastAsia="hi-IN" w:bidi="hi-IN"/>
        </w:rPr>
        <w:t xml:space="preserve"> od </w:t>
      </w:r>
      <w:r w:rsidR="007A42E8" w:rsidRPr="008D66B9">
        <w:rPr>
          <w:rFonts w:ascii="Calibri" w:eastAsia="SimSun" w:hAnsi="Calibri" w:cs="Calibri"/>
          <w:kern w:val="1"/>
          <w:sz w:val="22"/>
          <w:szCs w:val="22"/>
          <w:lang w:eastAsia="hi-IN" w:bidi="hi-IN"/>
        </w:rPr>
        <w:t>nabytí</w:t>
      </w:r>
      <w:r w:rsidR="006A36A9" w:rsidRPr="008D66B9">
        <w:rPr>
          <w:rFonts w:ascii="Calibri" w:eastAsia="SimSun" w:hAnsi="Calibri" w:cs="Calibri"/>
          <w:kern w:val="1"/>
          <w:sz w:val="22"/>
          <w:szCs w:val="22"/>
          <w:lang w:eastAsia="hi-IN" w:bidi="hi-IN"/>
        </w:rPr>
        <w:t xml:space="preserve"> </w:t>
      </w:r>
      <w:r w:rsidR="00CB32A5" w:rsidRPr="008D66B9">
        <w:rPr>
          <w:rFonts w:ascii="Calibri" w:eastAsia="SimSun" w:hAnsi="Calibri" w:cs="Calibri"/>
          <w:kern w:val="1"/>
          <w:sz w:val="22"/>
          <w:szCs w:val="22"/>
          <w:lang w:eastAsia="hi-IN" w:bidi="hi-IN"/>
        </w:rPr>
        <w:t xml:space="preserve">účinnosti </w:t>
      </w:r>
      <w:r w:rsidR="007A42E8" w:rsidRPr="008D66B9">
        <w:rPr>
          <w:rFonts w:ascii="Calibri" w:eastAsia="SimSun" w:hAnsi="Calibri" w:cs="Calibri"/>
          <w:kern w:val="1"/>
          <w:sz w:val="22"/>
          <w:szCs w:val="22"/>
          <w:lang w:eastAsia="hi-IN" w:bidi="hi-IN"/>
        </w:rPr>
        <w:t xml:space="preserve">Kupní </w:t>
      </w:r>
      <w:r w:rsidR="001C5CE9" w:rsidRPr="008D66B9">
        <w:rPr>
          <w:rFonts w:ascii="Calibri" w:eastAsia="SimSun" w:hAnsi="Calibri" w:cs="Calibri"/>
          <w:kern w:val="1"/>
          <w:sz w:val="22"/>
          <w:szCs w:val="22"/>
          <w:lang w:eastAsia="hi-IN" w:bidi="hi-IN"/>
        </w:rPr>
        <w:t>smlouvy.</w:t>
      </w:r>
    </w:p>
    <w:p w14:paraId="1497898A" w14:textId="295463EF" w:rsidR="004A44B7" w:rsidRPr="00120351" w:rsidRDefault="006A36A9" w:rsidP="00592397">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1F88C7F4" w14:textId="7EC880A5" w:rsidR="0093122C" w:rsidRPr="00F107A9" w:rsidRDefault="006A36A9" w:rsidP="00F107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4612BAC"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r w:rsidR="00F107A9">
        <w:rPr>
          <w:rFonts w:ascii="Calibri" w:eastAsia="SimSun" w:hAnsi="Calibri" w:cs="Calibri"/>
          <w:snapToGrid w:val="0"/>
          <w:kern w:val="1"/>
          <w:sz w:val="22"/>
          <w:szCs w:val="22"/>
          <w:lang w:eastAsia="hi-IN" w:bidi="hi-IN"/>
        </w:rPr>
        <w:t xml:space="preserve"> a „</w:t>
      </w:r>
      <w:r w:rsidR="00F107A9" w:rsidRPr="00F107A9">
        <w:rPr>
          <w:rFonts w:ascii="Calibri" w:eastAsia="SimSun" w:hAnsi="Calibri" w:cs="Calibri"/>
          <w:snapToGrid w:val="0"/>
          <w:kern w:val="1"/>
          <w:sz w:val="22"/>
          <w:szCs w:val="22"/>
          <w:lang w:eastAsia="hi-IN" w:bidi="hi-IN"/>
        </w:rPr>
        <w:t>Modernizace přístrojů a vybavení operačních sálů</w:t>
      </w:r>
      <w:r w:rsidR="00F107A9">
        <w:rPr>
          <w:rFonts w:ascii="Calibri" w:eastAsia="SimSun" w:hAnsi="Calibri" w:cs="Calibri"/>
          <w:snapToGrid w:val="0"/>
          <w:kern w:val="1"/>
          <w:sz w:val="22"/>
          <w:szCs w:val="22"/>
          <w:lang w:eastAsia="hi-IN" w:bidi="hi-IN"/>
        </w:rPr>
        <w:t>“</w:t>
      </w:r>
    </w:p>
    <w:p w14:paraId="763FCF5F" w14:textId="737EC05D" w:rsidR="001041C2" w:rsidRPr="00DB3680" w:rsidRDefault="001041C2"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3680">
        <w:rPr>
          <w:rFonts w:ascii="Calibri" w:eastAsia="SimSun" w:hAnsi="Calibri" w:cs="Calibri"/>
          <w:kern w:val="1"/>
          <w:sz w:val="22"/>
          <w:szCs w:val="22"/>
          <w:lang w:eastAsia="hi-IN" w:bidi="hi-IN"/>
        </w:rPr>
        <w:lastRenderedPageBreak/>
        <w:t>Daňový doklad (faktura) bude obsahovat identifikační číslo projektu: „CZ.06.2.56/0.0/0.0/16_043/</w:t>
      </w:r>
      <w:r w:rsidR="00096B62" w:rsidRPr="00DB3680">
        <w:rPr>
          <w:rFonts w:ascii="Calibri" w:eastAsia="SimSun" w:hAnsi="Calibri" w:cs="Calibri"/>
          <w:kern w:val="1"/>
          <w:sz w:val="22"/>
          <w:szCs w:val="22"/>
          <w:lang w:eastAsia="hi-IN" w:bidi="hi-IN"/>
        </w:rPr>
        <w:t>000154</w:t>
      </w:r>
      <w:r w:rsidR="0093122C" w:rsidRPr="00DB3680">
        <w:rPr>
          <w:rFonts w:ascii="Calibri" w:eastAsia="SimSun" w:hAnsi="Calibri" w:cs="Calibri"/>
          <w:kern w:val="1"/>
          <w:sz w:val="22"/>
          <w:szCs w:val="22"/>
          <w:lang w:eastAsia="hi-IN" w:bidi="hi-IN"/>
        </w:rPr>
        <w:t>1</w:t>
      </w:r>
      <w:r w:rsidRPr="00DB3680">
        <w:rPr>
          <w:rFonts w:ascii="Calibri" w:eastAsia="SimSun" w:hAnsi="Calibri" w:cs="Calibri"/>
          <w:kern w:val="1"/>
          <w:sz w:val="22"/>
          <w:szCs w:val="22"/>
          <w:lang w:eastAsia="hi-IN" w:bidi="hi-IN"/>
        </w:rPr>
        <w:t>“</w:t>
      </w:r>
      <w:r w:rsidR="00BF3173" w:rsidRPr="00DB3680">
        <w:rPr>
          <w:rFonts w:ascii="Calibri" w:eastAsia="SimSun" w:hAnsi="Calibri" w:cs="Calibri"/>
          <w:kern w:val="1"/>
          <w:sz w:val="22"/>
          <w:szCs w:val="22"/>
          <w:lang w:eastAsia="hi-IN" w:bidi="hi-IN"/>
        </w:rPr>
        <w:t xml:space="preserve"> a „reg. č. CZ.06.2.56/0.0/0.0/16_043/0001549“</w:t>
      </w:r>
      <w:r w:rsidRPr="00DB3680">
        <w:rPr>
          <w:rFonts w:ascii="Calibri" w:eastAsia="SimSun" w:hAnsi="Calibri" w:cs="Calibri"/>
          <w:kern w:val="1"/>
          <w:sz w:val="22"/>
          <w:szCs w:val="22"/>
          <w:lang w:eastAsia="hi-IN" w:bidi="hi-IN"/>
        </w:rPr>
        <w:t xml:space="preserve"> a zároveň „P19_01“</w:t>
      </w:r>
      <w:r w:rsidR="0059677A" w:rsidRPr="00DB3680">
        <w:rPr>
          <w:rFonts w:ascii="Calibri" w:eastAsia="SimSun" w:hAnsi="Calibri" w:cs="Calibri"/>
          <w:kern w:val="1"/>
          <w:sz w:val="22"/>
          <w:szCs w:val="22"/>
          <w:lang w:eastAsia="hi-IN" w:bidi="hi-IN"/>
        </w:rPr>
        <w:t>.</w:t>
      </w:r>
    </w:p>
    <w:p w14:paraId="09035797" w14:textId="77777777" w:rsidR="00E95569" w:rsidRPr="00DA3510" w:rsidRDefault="00E9556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92397">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92397">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268EE567" w:rsidR="008E76A1" w:rsidRDefault="006A36A9"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3036055" w:rsidR="005F253D" w:rsidRPr="002050D5" w:rsidRDefault="006A36A9" w:rsidP="00592397">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BA75DD">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1403C8BC"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7FE9A9A6" w:rsidR="006A36A9" w:rsidRPr="00133407"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592397">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592397">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6B5DC417" w14:textId="77777777" w:rsidR="006A36A9" w:rsidRPr="007D4423" w:rsidRDefault="006A36A9" w:rsidP="00592397">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59239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59239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59239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66F67F37" w:rsidR="00F970BC" w:rsidRDefault="006A36A9" w:rsidP="0059239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8D66B9">
        <w:rPr>
          <w:rFonts w:ascii="Calibri" w:eastAsia="SimSun" w:hAnsi="Calibri" w:cs="Calibri"/>
          <w:kern w:val="1"/>
          <w:sz w:val="22"/>
          <w:szCs w:val="22"/>
          <w:lang w:eastAsia="hi-IN" w:bidi="hi-IN"/>
        </w:rPr>
        <w:t xml:space="preserve">a účinnosti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59239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59239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59239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59239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59239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40A58EB4"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2A605719" w14:textId="4CFA2D67" w:rsidR="00AE4081" w:rsidRDefault="00AE4081"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4ACA1A9" w14:textId="76537544" w:rsidR="00AE4081" w:rsidRDefault="00AE4081"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AC699A0" w14:textId="30008CEE" w:rsidR="00AE4081" w:rsidRDefault="00AE4081"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02B5F67" w14:textId="3AF7BD32" w:rsidR="00AE4081" w:rsidRDefault="00AE4081"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012D021" w14:textId="77777777" w:rsidR="00AE4081" w:rsidRDefault="00AE4081"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AE4081"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AE4081">
        <w:rPr>
          <w:rFonts w:ascii="Calibri" w:eastAsia="SimSun" w:hAnsi="Calibri" w:cs="Calibri"/>
          <w:bCs/>
          <w:kern w:val="1"/>
          <w:sz w:val="22"/>
          <w:szCs w:val="22"/>
          <w:lang w:eastAsia="hi-IN" w:bidi="hi-IN"/>
        </w:rPr>
        <w:t xml:space="preserve">Příloha č. 1: </w:t>
      </w:r>
      <w:r w:rsidR="00B768F5" w:rsidRPr="00AE4081">
        <w:rPr>
          <w:rFonts w:ascii="Calibri" w:eastAsia="SimSun" w:hAnsi="Calibri" w:cs="Calibri"/>
          <w:bCs/>
          <w:kern w:val="1"/>
          <w:sz w:val="22"/>
          <w:szCs w:val="22"/>
          <w:lang w:eastAsia="hi-IN" w:bidi="hi-IN"/>
        </w:rPr>
        <w:t>Dílčí specifikace ceny</w:t>
      </w:r>
    </w:p>
    <w:p w14:paraId="2F06CA6B" w14:textId="6185F934" w:rsidR="006A36A9" w:rsidRPr="00AE4081"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AE4081">
        <w:rPr>
          <w:rFonts w:ascii="Calibri" w:eastAsia="SimSun" w:hAnsi="Calibri" w:cs="Calibri"/>
          <w:bCs/>
          <w:kern w:val="1"/>
          <w:sz w:val="22"/>
          <w:szCs w:val="22"/>
          <w:lang w:eastAsia="hi-IN" w:bidi="hi-IN"/>
        </w:rPr>
        <w:t>Příloha č. 2: Podrobná specifikace přístrojového zařízení</w:t>
      </w:r>
      <w:bookmarkStart w:id="3" w:name="_Hlk20150583"/>
    </w:p>
    <w:p w14:paraId="3290276A" w14:textId="48FE480D" w:rsidR="00B768F5" w:rsidRPr="00AE4081" w:rsidRDefault="00B768F5" w:rsidP="00AE4081">
      <w:pPr>
        <w:pStyle w:val="Bezmezer"/>
        <w:widowControl w:val="0"/>
        <w:suppressAutoHyphens/>
        <w:spacing w:after="60" w:line="240" w:lineRule="atLeast"/>
        <w:rPr>
          <w:rFonts w:eastAsia="SimSun"/>
          <w:kern w:val="1"/>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5B40A570" w14:textId="2D55FE10" w:rsidR="00D02334" w:rsidRPr="00B071C9" w:rsidRDefault="00D02334" w:rsidP="00AE4081">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E924F" w14:textId="77777777" w:rsidR="003E4907" w:rsidRDefault="003E4907" w:rsidP="009B0C36">
      <w:r>
        <w:separator/>
      </w:r>
    </w:p>
  </w:endnote>
  <w:endnote w:type="continuationSeparator" w:id="0">
    <w:p w14:paraId="5B0C5625" w14:textId="77777777" w:rsidR="003E4907" w:rsidRDefault="003E4907"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43D78C3" w14:textId="000AC154" w:rsidR="00BF3173" w:rsidRPr="001E7F74" w:rsidRDefault="00BF3173" w:rsidP="00BF3173">
        <w:pPr>
          <w:pStyle w:val="Zpat"/>
          <w:tabs>
            <w:tab w:val="left" w:pos="6330"/>
            <w:tab w:val="right" w:pos="9864"/>
          </w:tabs>
          <w:rPr>
            <w:rFonts w:ascii="Calibri" w:hAnsi="Calibri" w:cs="Calibri"/>
            <w:sz w:val="20"/>
            <w:szCs w:val="20"/>
          </w:rPr>
        </w:pPr>
        <w:r w:rsidRPr="001E7F74">
          <w:rPr>
            <w:rFonts w:ascii="Calibri" w:hAnsi="Calibri" w:cs="Calibri"/>
            <w:sz w:val="20"/>
            <w:szCs w:val="20"/>
          </w:rPr>
          <w:t xml:space="preserve">Název projektu: „Zobrazovací techniky UZ“, </w:t>
        </w:r>
      </w:p>
      <w:p w14:paraId="454E7D46" w14:textId="77777777" w:rsidR="00BF3173" w:rsidRPr="001E7F74" w:rsidRDefault="00BF3173" w:rsidP="00BF3173">
        <w:pPr>
          <w:pStyle w:val="Zpat"/>
          <w:tabs>
            <w:tab w:val="left" w:pos="6330"/>
            <w:tab w:val="right" w:pos="9864"/>
          </w:tabs>
          <w:rPr>
            <w:rFonts w:ascii="Calibri" w:hAnsi="Calibri" w:cs="Calibri"/>
            <w:sz w:val="20"/>
            <w:szCs w:val="20"/>
          </w:rPr>
        </w:pPr>
        <w:r w:rsidRPr="001E7F74">
          <w:rPr>
            <w:rFonts w:ascii="Calibri" w:hAnsi="Calibri" w:cs="Calibri"/>
            <w:sz w:val="20"/>
            <w:szCs w:val="20"/>
          </w:rPr>
          <w:t xml:space="preserve">reg. č. CZ.06.2.56/0.0/0.0/16_043/0001541                                                                              </w:t>
        </w:r>
      </w:p>
      <w:p w14:paraId="6F28B540" w14:textId="6421AE25" w:rsidR="00BF3173" w:rsidRPr="001E7F74" w:rsidRDefault="00BF3173" w:rsidP="00BF3173">
        <w:pPr>
          <w:pStyle w:val="Zpat"/>
          <w:tabs>
            <w:tab w:val="left" w:pos="6330"/>
            <w:tab w:val="right" w:pos="9864"/>
          </w:tabs>
          <w:rPr>
            <w:rFonts w:ascii="Calibri" w:hAnsi="Calibri" w:cs="Calibri"/>
            <w:sz w:val="20"/>
            <w:szCs w:val="20"/>
          </w:rPr>
        </w:pPr>
        <w:r w:rsidRPr="001E7F74">
          <w:rPr>
            <w:rFonts w:ascii="Calibri" w:hAnsi="Calibri" w:cs="Calibri"/>
            <w:sz w:val="20"/>
            <w:szCs w:val="20"/>
          </w:rPr>
          <w:t xml:space="preserve">Název projektu: </w:t>
        </w:r>
        <w:r w:rsidR="001E7F74" w:rsidRPr="001E7F74">
          <w:rPr>
            <w:rFonts w:ascii="Calibri" w:hAnsi="Calibri" w:cs="Calibri"/>
            <w:sz w:val="20"/>
            <w:szCs w:val="20"/>
          </w:rPr>
          <w:t>„</w:t>
        </w:r>
        <w:r w:rsidRPr="001E7F74">
          <w:rPr>
            <w:rFonts w:ascii="Calibri" w:hAnsi="Calibri" w:cs="Calibri"/>
            <w:sz w:val="20"/>
            <w:szCs w:val="20"/>
          </w:rPr>
          <w:t>Modernizace přístrojů a vybavení operačních sálů</w:t>
        </w:r>
        <w:r w:rsidR="001E7F74" w:rsidRPr="001E7F74">
          <w:rPr>
            <w:rFonts w:ascii="Calibri" w:hAnsi="Calibri" w:cs="Calibri"/>
            <w:sz w:val="20"/>
            <w:szCs w:val="20"/>
          </w:rPr>
          <w:t>“</w:t>
        </w:r>
      </w:p>
      <w:p w14:paraId="07BE5BC1" w14:textId="77777777" w:rsidR="00BF3173" w:rsidRPr="001E7F74" w:rsidRDefault="00BF3173" w:rsidP="00BF3173">
        <w:pPr>
          <w:pStyle w:val="Zpat"/>
          <w:tabs>
            <w:tab w:val="left" w:pos="6330"/>
            <w:tab w:val="right" w:pos="9864"/>
          </w:tabs>
          <w:rPr>
            <w:rFonts w:ascii="Calibri" w:hAnsi="Calibri" w:cs="Calibri"/>
            <w:sz w:val="20"/>
            <w:szCs w:val="20"/>
          </w:rPr>
        </w:pPr>
        <w:r w:rsidRPr="001E7F74">
          <w:rPr>
            <w:rFonts w:ascii="Calibri" w:hAnsi="Calibri" w:cs="Calibri"/>
            <w:sz w:val="20"/>
            <w:szCs w:val="20"/>
          </w:rPr>
          <w:t>reg. č. CZ.06.2.56/0.0/0.0/16_043/0001549</w:t>
        </w:r>
      </w:p>
      <w:p w14:paraId="2CD2A633" w14:textId="77777777" w:rsidR="00BF3173" w:rsidRDefault="00BF3173" w:rsidP="00BF3173">
        <w:pPr>
          <w:pStyle w:val="Zpat"/>
        </w:pPr>
        <w:r w:rsidRPr="001E7F74">
          <w:rPr>
            <w:rFonts w:ascii="Calibri" w:hAnsi="Calibri" w:cs="Calibri"/>
            <w:b/>
            <w:sz w:val="20"/>
            <w:szCs w:val="20"/>
          </w:rPr>
          <w:t>Tento projekt je spolufinancován Evropskou unií z Evropského fondu pro regionální rozvoj.</w:t>
        </w:r>
      </w:p>
      <w:p w14:paraId="77DE50D2" w14:textId="4305C468" w:rsidR="005B6B38" w:rsidRPr="00532F40" w:rsidRDefault="00532F40" w:rsidP="00BF317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EADA2" w14:textId="77777777" w:rsidR="003E4907" w:rsidRDefault="003E4907" w:rsidP="009B0C36">
      <w:r>
        <w:separator/>
      </w:r>
    </w:p>
  </w:footnote>
  <w:footnote w:type="continuationSeparator" w:id="0">
    <w:p w14:paraId="21754546" w14:textId="77777777" w:rsidR="003E4907" w:rsidRDefault="003E4907"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6369FC5E"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2F6CBAEE"/>
    <w:lvl w:ilvl="0" w:tplc="EC1EE3A2">
      <w:start w:val="1"/>
      <w:numFmt w:val="decimal"/>
      <w:lvlText w:val="%1."/>
      <w:lvlJc w:val="left"/>
      <w:pPr>
        <w:ind w:left="720" w:hanging="360"/>
      </w:pPr>
      <w:rPr>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370C02"/>
    <w:multiLevelType w:val="hybridMultilevel"/>
    <w:tmpl w:val="BDAE3E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4"/>
  </w:num>
  <w:num w:numId="4">
    <w:abstractNumId w:val="11"/>
  </w:num>
  <w:num w:numId="5">
    <w:abstractNumId w:val="2"/>
  </w:num>
  <w:num w:numId="6">
    <w:abstractNumId w:val="10"/>
  </w:num>
  <w:num w:numId="7">
    <w:abstractNumId w:val="14"/>
  </w:num>
  <w:num w:numId="8">
    <w:abstractNumId w:val="33"/>
  </w:num>
  <w:num w:numId="9">
    <w:abstractNumId w:val="7"/>
  </w:num>
  <w:num w:numId="10">
    <w:abstractNumId w:val="25"/>
  </w:num>
  <w:num w:numId="11">
    <w:abstractNumId w:val="12"/>
  </w:num>
  <w:num w:numId="12">
    <w:abstractNumId w:val="22"/>
  </w:num>
  <w:num w:numId="13">
    <w:abstractNumId w:val="18"/>
  </w:num>
  <w:num w:numId="14">
    <w:abstractNumId w:val="27"/>
  </w:num>
  <w:num w:numId="15">
    <w:abstractNumId w:val="1"/>
  </w:num>
  <w:num w:numId="16">
    <w:abstractNumId w:val="8"/>
  </w:num>
  <w:num w:numId="17">
    <w:abstractNumId w:val="23"/>
  </w:num>
  <w:num w:numId="18">
    <w:abstractNumId w:val="9"/>
  </w:num>
  <w:num w:numId="19">
    <w:abstractNumId w:val="21"/>
  </w:num>
  <w:num w:numId="20">
    <w:abstractNumId w:val="4"/>
  </w:num>
  <w:num w:numId="21">
    <w:abstractNumId w:val="17"/>
  </w:num>
  <w:num w:numId="22">
    <w:abstractNumId w:val="3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5"/>
  </w:num>
  <w:num w:numId="29">
    <w:abstractNumId w:val="19"/>
  </w:num>
  <w:num w:numId="30">
    <w:abstractNumId w:val="13"/>
  </w:num>
  <w:num w:numId="31">
    <w:abstractNumId w:val="6"/>
  </w:num>
  <w:num w:numId="32">
    <w:abstractNumId w:val="28"/>
  </w:num>
  <w:num w:numId="33">
    <w:abstractNumId w:val="3"/>
  </w:num>
  <w:num w:numId="34">
    <w:abstractNumId w:val="34"/>
  </w:num>
  <w:num w:numId="35">
    <w:abstractNumId w:val="5"/>
    <w:lvlOverride w:ilvl="0"/>
    <w:lvlOverride w:ilvl="1"/>
    <w:lvlOverride w:ilvl="2"/>
    <w:lvlOverride w:ilvl="3"/>
    <w:lvlOverride w:ilvl="4"/>
    <w:lvlOverride w:ilvl="5"/>
    <w:lvlOverride w:ilvl="6"/>
    <w:lvlOverride w:ilvl="7"/>
    <w:lvlOverride w:ilvl="8"/>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101A54"/>
    <w:rsid w:val="001041C2"/>
    <w:rsid w:val="00104420"/>
    <w:rsid w:val="001142B6"/>
    <w:rsid w:val="00116A0C"/>
    <w:rsid w:val="00120351"/>
    <w:rsid w:val="00130506"/>
    <w:rsid w:val="001314A4"/>
    <w:rsid w:val="00133407"/>
    <w:rsid w:val="00157F1E"/>
    <w:rsid w:val="00162D7E"/>
    <w:rsid w:val="00170184"/>
    <w:rsid w:val="00171748"/>
    <w:rsid w:val="00180E2E"/>
    <w:rsid w:val="0018224F"/>
    <w:rsid w:val="001955A8"/>
    <w:rsid w:val="001A5DAF"/>
    <w:rsid w:val="001C5CE9"/>
    <w:rsid w:val="001D2B83"/>
    <w:rsid w:val="001E1D60"/>
    <w:rsid w:val="001E7F74"/>
    <w:rsid w:val="001F163B"/>
    <w:rsid w:val="001F2A9E"/>
    <w:rsid w:val="001F4F58"/>
    <w:rsid w:val="002050D5"/>
    <w:rsid w:val="00207242"/>
    <w:rsid w:val="0021595B"/>
    <w:rsid w:val="00252024"/>
    <w:rsid w:val="00254B7C"/>
    <w:rsid w:val="00276440"/>
    <w:rsid w:val="00284731"/>
    <w:rsid w:val="002960DC"/>
    <w:rsid w:val="002A227A"/>
    <w:rsid w:val="002B6DB3"/>
    <w:rsid w:val="002E0B61"/>
    <w:rsid w:val="00307BDD"/>
    <w:rsid w:val="003344D5"/>
    <w:rsid w:val="0034495D"/>
    <w:rsid w:val="003506AD"/>
    <w:rsid w:val="003608C7"/>
    <w:rsid w:val="00373F2B"/>
    <w:rsid w:val="00384616"/>
    <w:rsid w:val="00385276"/>
    <w:rsid w:val="00391180"/>
    <w:rsid w:val="003911F5"/>
    <w:rsid w:val="003A320F"/>
    <w:rsid w:val="003A7015"/>
    <w:rsid w:val="003B30BD"/>
    <w:rsid w:val="003C1938"/>
    <w:rsid w:val="003D12B4"/>
    <w:rsid w:val="003D40CD"/>
    <w:rsid w:val="003D6C9E"/>
    <w:rsid w:val="003E4907"/>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2397"/>
    <w:rsid w:val="0059677A"/>
    <w:rsid w:val="005B6B38"/>
    <w:rsid w:val="005C580D"/>
    <w:rsid w:val="005D13F6"/>
    <w:rsid w:val="005F253D"/>
    <w:rsid w:val="00636C16"/>
    <w:rsid w:val="006A36A9"/>
    <w:rsid w:val="006C07FB"/>
    <w:rsid w:val="006D0171"/>
    <w:rsid w:val="006D5927"/>
    <w:rsid w:val="007043A0"/>
    <w:rsid w:val="00710649"/>
    <w:rsid w:val="0076251E"/>
    <w:rsid w:val="00764BD6"/>
    <w:rsid w:val="007732BE"/>
    <w:rsid w:val="007804AA"/>
    <w:rsid w:val="00782111"/>
    <w:rsid w:val="00795A37"/>
    <w:rsid w:val="007A42E8"/>
    <w:rsid w:val="007B6512"/>
    <w:rsid w:val="007D4423"/>
    <w:rsid w:val="007D4588"/>
    <w:rsid w:val="007E4749"/>
    <w:rsid w:val="00800356"/>
    <w:rsid w:val="0080560B"/>
    <w:rsid w:val="00836966"/>
    <w:rsid w:val="00873BD7"/>
    <w:rsid w:val="00893E5E"/>
    <w:rsid w:val="008A728C"/>
    <w:rsid w:val="008C432C"/>
    <w:rsid w:val="008D1AAD"/>
    <w:rsid w:val="008D66B9"/>
    <w:rsid w:val="008E76A1"/>
    <w:rsid w:val="008F2185"/>
    <w:rsid w:val="008F356C"/>
    <w:rsid w:val="008F7002"/>
    <w:rsid w:val="009151DB"/>
    <w:rsid w:val="009212FF"/>
    <w:rsid w:val="0093122C"/>
    <w:rsid w:val="00947296"/>
    <w:rsid w:val="00964F90"/>
    <w:rsid w:val="00985AB3"/>
    <w:rsid w:val="009A5AB0"/>
    <w:rsid w:val="009B0C36"/>
    <w:rsid w:val="009B7886"/>
    <w:rsid w:val="009C4212"/>
    <w:rsid w:val="009C6E46"/>
    <w:rsid w:val="009F261B"/>
    <w:rsid w:val="00A36F2B"/>
    <w:rsid w:val="00A37978"/>
    <w:rsid w:val="00A72C26"/>
    <w:rsid w:val="00A97B84"/>
    <w:rsid w:val="00A97DF3"/>
    <w:rsid w:val="00AE2B3E"/>
    <w:rsid w:val="00AE4081"/>
    <w:rsid w:val="00AF367E"/>
    <w:rsid w:val="00B071C9"/>
    <w:rsid w:val="00B666DA"/>
    <w:rsid w:val="00B72071"/>
    <w:rsid w:val="00B768F5"/>
    <w:rsid w:val="00BA23D8"/>
    <w:rsid w:val="00BA2736"/>
    <w:rsid w:val="00BA75DD"/>
    <w:rsid w:val="00BA7FE6"/>
    <w:rsid w:val="00BD03B2"/>
    <w:rsid w:val="00BE443A"/>
    <w:rsid w:val="00BF24BB"/>
    <w:rsid w:val="00BF2FC2"/>
    <w:rsid w:val="00BF3173"/>
    <w:rsid w:val="00C156D2"/>
    <w:rsid w:val="00C168C7"/>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60629"/>
    <w:rsid w:val="00D61FD0"/>
    <w:rsid w:val="00D71975"/>
    <w:rsid w:val="00D71E42"/>
    <w:rsid w:val="00D72EBB"/>
    <w:rsid w:val="00D73A4C"/>
    <w:rsid w:val="00D83A47"/>
    <w:rsid w:val="00D845B1"/>
    <w:rsid w:val="00DA2B06"/>
    <w:rsid w:val="00DA3510"/>
    <w:rsid w:val="00DB3680"/>
    <w:rsid w:val="00DE52E6"/>
    <w:rsid w:val="00E10E84"/>
    <w:rsid w:val="00E228EC"/>
    <w:rsid w:val="00E42968"/>
    <w:rsid w:val="00E6140A"/>
    <w:rsid w:val="00E702F2"/>
    <w:rsid w:val="00E75BE0"/>
    <w:rsid w:val="00E762CB"/>
    <w:rsid w:val="00E91E0D"/>
    <w:rsid w:val="00E92E41"/>
    <w:rsid w:val="00E95569"/>
    <w:rsid w:val="00E96EC0"/>
    <w:rsid w:val="00EB723F"/>
    <w:rsid w:val="00EC006E"/>
    <w:rsid w:val="00EC7723"/>
    <w:rsid w:val="00ED5FFF"/>
    <w:rsid w:val="00ED7BC3"/>
    <w:rsid w:val="00EE0BA2"/>
    <w:rsid w:val="00EE5324"/>
    <w:rsid w:val="00F107A9"/>
    <w:rsid w:val="00F1156D"/>
    <w:rsid w:val="00F13FDC"/>
    <w:rsid w:val="00F310B2"/>
    <w:rsid w:val="00F514C1"/>
    <w:rsid w:val="00F80236"/>
    <w:rsid w:val="00F837E0"/>
    <w:rsid w:val="00F900CD"/>
    <w:rsid w:val="00F970BC"/>
    <w:rsid w:val="00FA62C3"/>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customStyle="1" w:styleId="PODKAPITOLAChar">
    <w:name w:val="PODKAPITOLA Char"/>
    <w:basedOn w:val="Standardnpsmoodstavce"/>
    <w:link w:val="PODKAPITOLA"/>
    <w:uiPriority w:val="99"/>
    <w:locked/>
    <w:rsid w:val="008D66B9"/>
    <w:rPr>
      <w:rFonts w:ascii="Verdana" w:eastAsia="Times New Roman" w:hAnsi="Verdana" w:cs="Verdana"/>
      <w:b/>
      <w:bCs/>
      <w:color w:val="333333"/>
      <w:sz w:val="20"/>
      <w:szCs w:val="20"/>
      <w:shd w:val="clear" w:color="auto" w:fill="FFFFFF"/>
    </w:rPr>
  </w:style>
  <w:style w:type="paragraph" w:customStyle="1" w:styleId="PODKAPITOLA">
    <w:name w:val="PODKAPITOLA"/>
    <w:basedOn w:val="Normln"/>
    <w:link w:val="PODKAPITOLAChar"/>
    <w:uiPriority w:val="99"/>
    <w:rsid w:val="008D66B9"/>
    <w:pPr>
      <w:shd w:val="clear" w:color="auto" w:fill="FFFFFF"/>
      <w:spacing w:before="300" w:after="150"/>
      <w:outlineLvl w:val="1"/>
    </w:pPr>
    <w:rPr>
      <w:rFonts w:ascii="Verdana" w:hAnsi="Verdana" w:cs="Verdana"/>
      <w:b/>
      <w:bCs/>
      <w:color w:val="333333"/>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544262">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198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12</Pages>
  <Words>3727</Words>
  <Characters>21991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22</cp:revision>
  <cp:lastPrinted>2018-10-01T07:59:00Z</cp:lastPrinted>
  <dcterms:created xsi:type="dcterms:W3CDTF">2019-10-29T08:33:00Z</dcterms:created>
  <dcterms:modified xsi:type="dcterms:W3CDTF">2020-07-13T15:30:00Z</dcterms:modified>
</cp:coreProperties>
</file>